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6" w:rsidRPr="00EF4038" w:rsidRDefault="008C345C" w:rsidP="00E76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038">
        <w:rPr>
          <w:rFonts w:ascii="Times New Roman" w:hAnsi="Times New Roman" w:cs="Times New Roman"/>
          <w:b/>
          <w:sz w:val="28"/>
          <w:szCs w:val="28"/>
        </w:rPr>
        <w:t>Изменения в системе го</w:t>
      </w:r>
      <w:r w:rsidR="00EF4038" w:rsidRPr="00EF4038">
        <w:rPr>
          <w:rFonts w:ascii="Times New Roman" w:hAnsi="Times New Roman" w:cs="Times New Roman"/>
          <w:b/>
          <w:sz w:val="28"/>
          <w:szCs w:val="28"/>
        </w:rPr>
        <w:t>сударственной кадастровой оценки</w:t>
      </w:r>
    </w:p>
    <w:p w:rsidR="00E76A2F" w:rsidRPr="00EF4038" w:rsidRDefault="00E76A2F" w:rsidP="00E76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038" w:rsidRPr="00EF4038" w:rsidRDefault="00E76A2F" w:rsidP="00EF40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2017 года Федеральным законом от 03.07.2016 № 237-ФЗ «О государственной кадастровой оценке» (далее – Закон</w:t>
      </w:r>
      <w:r w:rsidR="003D030C"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оценке</w:t>
      </w: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 новый порядок проведения государственной кадастровой оценки.</w:t>
      </w:r>
    </w:p>
    <w:p w:rsidR="00EF4038" w:rsidRPr="00EF4038" w:rsidRDefault="00E76A2F" w:rsidP="00EF40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r w:rsidR="003D030C"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</w:t>
      </w: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 регулирует процедуру оценки, начиная от подготовки к ее проведению и до внесения результатов определения кадастровой оценки в Единый государственный реестр недвижимости.</w:t>
      </w:r>
    </w:p>
    <w:p w:rsidR="00EF4038" w:rsidRPr="00EF4038" w:rsidRDefault="001737BA" w:rsidP="00EF40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кадастровая оценка проводится на основе принципов единства методологии определения кадастровой стоимости, непрерывности актуализации сведений, необходимых для определения кадастровой стоимости, независимости и открытости процедур государственной кадастровой оценки на каждом этапе их осуществления, экономической обоснованности и проверяемости результатов определения кадастровой стоимости.</w:t>
      </w:r>
    </w:p>
    <w:p w:rsidR="00EF4038" w:rsidRPr="00EF4038" w:rsidRDefault="001737BA" w:rsidP="00EF40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кадастровая оценка включает в себя следующие процедуры:</w:t>
      </w:r>
    </w:p>
    <w:p w:rsidR="00EF4038" w:rsidRPr="00EF4038" w:rsidRDefault="001737BA" w:rsidP="00EF40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решения о проведении государственной кадастровой оценки;</w:t>
      </w:r>
    </w:p>
    <w:p w:rsidR="00EF4038" w:rsidRPr="00EF4038" w:rsidRDefault="001737BA" w:rsidP="00EF40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определение кадастровой стоимости и составление отчета об итогах государстве</w:t>
      </w:r>
      <w:r w:rsid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кадастровой оценки</w:t>
      </w: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4038" w:rsidRPr="00EF4038" w:rsidRDefault="001737BA" w:rsidP="00EF40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утверждение результатов определения кадастровой стоимости.</w:t>
      </w:r>
    </w:p>
    <w:p w:rsidR="00EF4038" w:rsidRPr="00EF4038" w:rsidRDefault="003D030C" w:rsidP="00EF40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38">
        <w:rPr>
          <w:rFonts w:ascii="Times New Roman" w:hAnsi="Times New Roman" w:cs="Times New Roman"/>
          <w:color w:val="000000"/>
          <w:sz w:val="28"/>
          <w:szCs w:val="28"/>
        </w:rPr>
        <w:t xml:space="preserve">Закон устанавливает определение кадастровой стоимости по единой методике, что позволит повысить качество и обеспечить единообразие определения кадастровой стоимости при государственной кадастровой оценке. </w:t>
      </w:r>
    </w:p>
    <w:p w:rsidR="00EF4038" w:rsidRPr="00AE5A31" w:rsidRDefault="001737BA" w:rsidP="00EF40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76A2F"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76A2F"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45C"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</w:t>
      </w: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 w:rsidR="008C345C"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государственных кадастровых оценщиков, которые на постоянной основе определяют кадастровую стоимость объектов недвижимости. Ими являются вновь созданные </w:t>
      </w:r>
      <w:r w:rsidR="008C345C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уже существующие государственные бюджетные учреждения (ГБУ), наделенные регионами соответствующими </w:t>
      </w:r>
      <w:r w:rsidR="00332543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полномочиями. При этом субъект ф</w:t>
      </w:r>
      <w:r w:rsidR="008C345C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несет субсидиарную ответственность по обязательствам ГБУ. </w:t>
      </w:r>
    </w:p>
    <w:p w:rsidR="00EF4038" w:rsidRPr="00EF4038" w:rsidRDefault="00332543" w:rsidP="00EF40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31">
        <w:rPr>
          <w:rFonts w:ascii="Times New Roman" w:hAnsi="Times New Roman" w:cs="Times New Roman"/>
          <w:color w:val="000000"/>
          <w:sz w:val="28"/>
          <w:szCs w:val="28"/>
        </w:rPr>
        <w:t>Кроме того, ГБУ</w:t>
      </w:r>
      <w:r w:rsidR="003D030C" w:rsidRPr="00AE5A31">
        <w:rPr>
          <w:rFonts w:ascii="Times New Roman" w:hAnsi="Times New Roman" w:cs="Times New Roman"/>
          <w:color w:val="000000"/>
          <w:sz w:val="28"/>
          <w:szCs w:val="28"/>
        </w:rPr>
        <w:t xml:space="preserve"> будут определять кадастровую стоимость вновь учтённых объектов недвижимости, ранее учтённых объектов недвижимости</w:t>
      </w:r>
      <w:r w:rsidR="003D030C" w:rsidRPr="00EF4038">
        <w:rPr>
          <w:rFonts w:ascii="Times New Roman" w:hAnsi="Times New Roman" w:cs="Times New Roman"/>
          <w:color w:val="000000"/>
          <w:sz w:val="28"/>
          <w:szCs w:val="28"/>
        </w:rPr>
        <w:t xml:space="preserve"> и объектов недвижимости, в отношении которых произошло изменение их количественных и (или) качественных характеристик. Также к функциям таких государственных бюджетных учреждений отнесено: предоставление детальных разъяснений по определённой кадастровой стоимости (что позволит получать информацию из единого источника); рассмотрение обращений об исправлении ошибок (что позволит в упрощённом порядке корректировать величину кадастровой стоимости и обеспечить оперативность исправления ошибок); постоянный мониторинг и обработку данных рынка недвижимости (что позволит повысить достоверность информации о рынке недвижимости); сбор, обработку, систематизацию и </w:t>
      </w:r>
      <w:r w:rsidR="003D030C" w:rsidRPr="00EF40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накопление сведений об объектах недвижимости (что позволит повысить эффективность информационного взаимодействия).</w:t>
      </w:r>
    </w:p>
    <w:p w:rsidR="00EF4038" w:rsidRPr="00EF4038" w:rsidRDefault="001737BA" w:rsidP="00EF40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учреждения уполномочены предоставлять физическим и юридическим лицам разъяснения, связанные с определением кадастровой стоимости, а также рассматривать обращения об исправлении ошибок.</w:t>
      </w:r>
      <w:r w:rsidRPr="00EF4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определении новой кадастровой стоимости будет учтена информация об объектах недвижимости, кадастровая стоимость которых была ранее оспорена. </w:t>
      </w: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обязано осуществлять сбор, обработку и учет информации об объектах недвижимости, кадастровая стоимость которых была ранее оспорена, в целях подготовки к определению новой кадастровой стоимости.</w:t>
      </w:r>
    </w:p>
    <w:p w:rsidR="00EF4038" w:rsidRPr="00AE5A31" w:rsidRDefault="001737BA" w:rsidP="00895C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ранее, государственная кадастровая оценка проводится не чаще одного раза в три года (в городах </w:t>
      </w:r>
      <w:r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значения </w:t>
      </w:r>
      <w:r w:rsidR="00895CAC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чаще одного раза в два года) и не реже одного раза в пять лет. Вместе с тем, введена возможность проведения внеочередной государственной кадастровой оценки, которая не учитывается для целей установления периодичности проведения государственной кадастровой оценки. Установлен исчерпывающий перечень оснований проведения такой оценки. Так, например, внеочередная оценка проводится в случае снижения индекса рынка н</w:t>
      </w:r>
      <w:r w:rsidR="00A9320C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едвижимости в субъекте РФ на 30 процентов</w:t>
      </w:r>
      <w:r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со дня проведения последней государственной кадастровой оценки.</w:t>
      </w:r>
      <w:r w:rsidR="00512B3B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законом предусмотрен запрет на изменение кадастровой стоимости </w:t>
      </w:r>
      <w:r w:rsidR="00895CAC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недвижимого имущества</w:t>
      </w:r>
      <w:r w:rsidR="00512B3B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CAC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B3B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895CAC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B3B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кадастровая стоимость, полученная в ходе проведения внеочередной оценки, будет выше, чем кадастровая стоимость, содержащаяся в ЕГРН на дату проведения такой оценки.</w:t>
      </w:r>
    </w:p>
    <w:p w:rsidR="00EF4038" w:rsidRPr="00EF4038" w:rsidRDefault="008C345C" w:rsidP="00EF40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за проведением </w:t>
      </w:r>
      <w:r w:rsidR="00512B3B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кадастровой</w:t>
      </w:r>
      <w:r w:rsidR="00512B3B"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осуществляет </w:t>
      </w:r>
      <w:r w:rsidR="001737BA"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же ведет фонд данных государственной кадастровой оценки.</w:t>
      </w:r>
      <w:r w:rsidR="001737BA"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B3B"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нарушений, связанных с несоблюдением порядка проведения государственной кадастровой оценки, в том числе методических указаний о такой оценке, Росреестр выдает предписание об устранении выявленных нарушений. Таким образом, у правообладателей появляется дополнительная возможность обратиться с жалобой в Росреестр в связи с выявлением нарушений в ходе оценки.</w:t>
      </w:r>
    </w:p>
    <w:p w:rsidR="00EF4038" w:rsidRPr="00AE5A31" w:rsidRDefault="008C345C" w:rsidP="00EF40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процедуры рассмотрения обращений об исправлении ошибок в определении кадастровой стоимости. Вводится альтернативная процедура рассмотрения споров по определению кадастровой стоимости. </w:t>
      </w:r>
      <w:r w:rsidR="00512B3B"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2B3B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от ранее существовавшего порядка, новым законом установлено, что для обращения в суд предварительное обращение в комиссию для юридических лиц не является обязательным. Более того, само создание комиссий перестает быть обязательным для субъектов РФ.</w:t>
      </w:r>
    </w:p>
    <w:p w:rsidR="00EF4038" w:rsidRPr="00EF4038" w:rsidRDefault="00512B3B" w:rsidP="00895C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изменен состав комиссии </w:t>
      </w:r>
      <w:r w:rsidR="00895CAC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нее должен входить представитель уполномоченного по защите прав предпринимателей в субъекте РФ. Всего в составе комиссии должно быть не менее пяти членов. Заседание комиссии</w:t>
      </w:r>
      <w:r w:rsidR="00895CAC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</w:t>
      </w:r>
      <w:r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правомочным, если на нем присутствуют не менее половины ее членов. </w:t>
      </w:r>
      <w:r w:rsidR="008C345C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исключена возможность оспаривания </w:t>
      </w:r>
      <w:r w:rsidR="008C345C" w:rsidRPr="00AE5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результатов определения кадастровой стоимости</w:t>
      </w:r>
      <w:r w:rsidR="008C345C" w:rsidRPr="00E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такому основанию, как недостоверность сведений об объекте недвижимости, использованных при определении его кадастровой стоимости.</w:t>
      </w:r>
    </w:p>
    <w:p w:rsidR="003D030C" w:rsidRPr="00EF4038" w:rsidRDefault="003D030C" w:rsidP="00EF40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38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1E7382" w:rsidRPr="00EF4038">
        <w:rPr>
          <w:rFonts w:ascii="Times New Roman" w:hAnsi="Times New Roman" w:cs="Times New Roman"/>
          <w:color w:val="000000"/>
          <w:sz w:val="28"/>
          <w:szCs w:val="28"/>
        </w:rPr>
        <w:t xml:space="preserve"> об оценке</w:t>
      </w:r>
      <w:r w:rsidRPr="00EF4038">
        <w:rPr>
          <w:rFonts w:ascii="Times New Roman" w:hAnsi="Times New Roman" w:cs="Times New Roman"/>
          <w:color w:val="000000"/>
          <w:sz w:val="28"/>
          <w:szCs w:val="28"/>
        </w:rPr>
        <w:t xml:space="preserve"> позволит повысить контроль за результатами кадастровой оценки и избежать излишней коммерциализации этих работ. В конечном итоге данный закон призван защитить правообладателей, учесть интересы населения и бизнеса.</w:t>
      </w:r>
    </w:p>
    <w:p w:rsidR="009E0594" w:rsidRPr="00EF4038" w:rsidRDefault="009E0594" w:rsidP="003D030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94" w:rsidRPr="00EF4038" w:rsidRDefault="009E0594" w:rsidP="001A646B">
      <w:pPr>
        <w:ind w:firstLine="453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4038">
        <w:rPr>
          <w:rFonts w:ascii="Times New Roman" w:hAnsi="Times New Roman" w:cs="Times New Roman"/>
          <w:b/>
          <w:color w:val="000000"/>
          <w:sz w:val="28"/>
          <w:szCs w:val="28"/>
        </w:rPr>
        <w:t>Нина Дузенко</w:t>
      </w:r>
      <w:r w:rsidR="001A646B" w:rsidRPr="00EF4038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1A646B" w:rsidRPr="00EF4038" w:rsidRDefault="001A646B" w:rsidP="001A646B">
      <w:pPr>
        <w:ind w:firstLine="453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4038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9E0594" w:rsidRPr="00EF4038">
        <w:rPr>
          <w:rFonts w:ascii="Times New Roman" w:hAnsi="Times New Roman" w:cs="Times New Roman"/>
          <w:b/>
          <w:color w:val="000000"/>
          <w:sz w:val="28"/>
          <w:szCs w:val="28"/>
        </w:rPr>
        <w:t>лавный специалист-эксперт</w:t>
      </w:r>
    </w:p>
    <w:p w:rsidR="001A646B" w:rsidRPr="00EF4038" w:rsidRDefault="009E0594" w:rsidP="001A646B">
      <w:pPr>
        <w:ind w:firstLine="453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4038">
        <w:rPr>
          <w:rFonts w:ascii="Times New Roman" w:hAnsi="Times New Roman" w:cs="Times New Roman"/>
          <w:b/>
          <w:color w:val="000000"/>
          <w:sz w:val="28"/>
          <w:szCs w:val="28"/>
        </w:rPr>
        <w:t>отдела</w:t>
      </w:r>
      <w:r w:rsidR="001A646B" w:rsidRPr="00EF40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F40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землеустройства </w:t>
      </w:r>
    </w:p>
    <w:p w:rsidR="001A646B" w:rsidRPr="00EF4038" w:rsidRDefault="009E0594" w:rsidP="001A646B">
      <w:pPr>
        <w:ind w:firstLine="453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4038">
        <w:rPr>
          <w:rFonts w:ascii="Times New Roman" w:hAnsi="Times New Roman" w:cs="Times New Roman"/>
          <w:b/>
          <w:color w:val="000000"/>
          <w:sz w:val="28"/>
          <w:szCs w:val="28"/>
        </w:rPr>
        <w:t>и мониторинг</w:t>
      </w:r>
      <w:r w:rsidR="001A646B" w:rsidRPr="00EF4038">
        <w:rPr>
          <w:rFonts w:ascii="Times New Roman" w:hAnsi="Times New Roman" w:cs="Times New Roman"/>
          <w:b/>
          <w:color w:val="000000"/>
          <w:sz w:val="28"/>
          <w:szCs w:val="28"/>
        </w:rPr>
        <w:t>а земель,</w:t>
      </w:r>
    </w:p>
    <w:p w:rsidR="001A646B" w:rsidRPr="00EF4038" w:rsidRDefault="009E0594" w:rsidP="001A646B">
      <w:pPr>
        <w:ind w:firstLine="453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4038">
        <w:rPr>
          <w:rFonts w:ascii="Times New Roman" w:hAnsi="Times New Roman" w:cs="Times New Roman"/>
          <w:b/>
          <w:color w:val="000000"/>
          <w:sz w:val="28"/>
          <w:szCs w:val="28"/>
        </w:rPr>
        <w:t>кадастровой оценки</w:t>
      </w:r>
      <w:r w:rsidR="001A646B" w:rsidRPr="00EF40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недвижимости, геодезии и </w:t>
      </w:r>
      <w:r w:rsidRPr="00EF4038">
        <w:rPr>
          <w:rFonts w:ascii="Times New Roman" w:hAnsi="Times New Roman" w:cs="Times New Roman"/>
          <w:b/>
          <w:color w:val="000000"/>
          <w:sz w:val="28"/>
          <w:szCs w:val="28"/>
        </w:rPr>
        <w:t>картографии</w:t>
      </w:r>
    </w:p>
    <w:p w:rsidR="001A646B" w:rsidRPr="00EF4038" w:rsidRDefault="009E0594" w:rsidP="001A646B">
      <w:pPr>
        <w:ind w:firstLine="453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4038">
        <w:rPr>
          <w:rFonts w:ascii="Times New Roman" w:hAnsi="Times New Roman" w:cs="Times New Roman"/>
          <w:b/>
          <w:color w:val="000000"/>
          <w:sz w:val="28"/>
          <w:szCs w:val="28"/>
        </w:rPr>
        <w:t>Управления Росреестра</w:t>
      </w:r>
    </w:p>
    <w:p w:rsidR="009E0594" w:rsidRDefault="009E0594" w:rsidP="001A646B">
      <w:pPr>
        <w:ind w:firstLine="4536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1A646B">
        <w:rPr>
          <w:rFonts w:ascii="Times New Roman" w:hAnsi="Times New Roman"/>
          <w:b/>
          <w:color w:val="000000"/>
          <w:sz w:val="28"/>
          <w:szCs w:val="28"/>
        </w:rPr>
        <w:t>по Омской</w:t>
      </w:r>
      <w:r w:rsidR="001A646B" w:rsidRPr="001A64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646B">
        <w:rPr>
          <w:rFonts w:ascii="Times New Roman" w:hAnsi="Times New Roman"/>
          <w:b/>
          <w:color w:val="000000"/>
          <w:sz w:val="28"/>
          <w:szCs w:val="28"/>
        </w:rPr>
        <w:t>области</w:t>
      </w:r>
      <w:r w:rsidR="001A646B" w:rsidRPr="001A64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E5A31" w:rsidRDefault="00AE5A31" w:rsidP="001A646B">
      <w:pPr>
        <w:ind w:firstLine="4536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A172C" w:rsidRDefault="005A172C" w:rsidP="001A646B">
      <w:pPr>
        <w:ind w:firstLine="4536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sectPr w:rsidR="005A172C" w:rsidSect="001A646B">
      <w:headerReference w:type="default" r:id="rId6"/>
      <w:pgSz w:w="11906" w:h="16838" w:code="9"/>
      <w:pgMar w:top="1134" w:right="11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D52" w:rsidRDefault="006B1D52" w:rsidP="001A646B">
      <w:r>
        <w:separator/>
      </w:r>
    </w:p>
  </w:endnote>
  <w:endnote w:type="continuationSeparator" w:id="1">
    <w:p w:rsidR="006B1D52" w:rsidRDefault="006B1D52" w:rsidP="001A6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D52" w:rsidRDefault="006B1D52" w:rsidP="001A646B">
      <w:r>
        <w:separator/>
      </w:r>
    </w:p>
  </w:footnote>
  <w:footnote w:type="continuationSeparator" w:id="1">
    <w:p w:rsidR="006B1D52" w:rsidRDefault="006B1D52" w:rsidP="001A6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376"/>
    </w:sdtPr>
    <w:sdtContent>
      <w:p w:rsidR="001A646B" w:rsidRDefault="00EF59E7" w:rsidP="001A646B">
        <w:pPr>
          <w:pStyle w:val="a5"/>
          <w:jc w:val="center"/>
        </w:pPr>
        <w:fldSimple w:instr=" PAGE   \* MERGEFORMAT ">
          <w:r w:rsidR="00F25423">
            <w:rPr>
              <w:noProof/>
            </w:rPr>
            <w:t>3</w:t>
          </w:r>
        </w:fldSimple>
      </w:p>
    </w:sdtContent>
  </w:sdt>
  <w:p w:rsidR="001A646B" w:rsidRDefault="001A646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C345C"/>
    <w:rsid w:val="001737BA"/>
    <w:rsid w:val="001A1336"/>
    <w:rsid w:val="001A646B"/>
    <w:rsid w:val="001A75ED"/>
    <w:rsid w:val="001E7382"/>
    <w:rsid w:val="00242DE7"/>
    <w:rsid w:val="00322064"/>
    <w:rsid w:val="00332543"/>
    <w:rsid w:val="003D030C"/>
    <w:rsid w:val="00431261"/>
    <w:rsid w:val="00512B3B"/>
    <w:rsid w:val="00550E89"/>
    <w:rsid w:val="005A172C"/>
    <w:rsid w:val="006B1D52"/>
    <w:rsid w:val="007F0FD1"/>
    <w:rsid w:val="00895CAC"/>
    <w:rsid w:val="008C345C"/>
    <w:rsid w:val="009E0594"/>
    <w:rsid w:val="00A9320C"/>
    <w:rsid w:val="00AE5A31"/>
    <w:rsid w:val="00E76A2F"/>
    <w:rsid w:val="00EF4038"/>
    <w:rsid w:val="00EF59E7"/>
    <w:rsid w:val="00F25423"/>
    <w:rsid w:val="00F51C7D"/>
    <w:rsid w:val="00F52856"/>
    <w:rsid w:val="00FC33F5"/>
    <w:rsid w:val="00FE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4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34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64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646B"/>
  </w:style>
  <w:style w:type="paragraph" w:styleId="a7">
    <w:name w:val="footer"/>
    <w:basedOn w:val="a"/>
    <w:link w:val="a8"/>
    <w:uiPriority w:val="99"/>
    <w:semiHidden/>
    <w:unhideWhenUsed/>
    <w:rsid w:val="001A64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46B"/>
  </w:style>
  <w:style w:type="paragraph" w:styleId="a9">
    <w:name w:val="Balloon Text"/>
    <w:basedOn w:val="a"/>
    <w:link w:val="aa"/>
    <w:uiPriority w:val="99"/>
    <w:semiHidden/>
    <w:unhideWhenUsed/>
    <w:rsid w:val="00AE5A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908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</w:div>
        <w:div w:id="117966161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</w:div>
        <w:div w:id="211112498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</w:div>
        <w:div w:id="140687470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</w:div>
        <w:div w:id="219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Duzenko</dc:creator>
  <cp:keywords/>
  <dc:description/>
  <cp:lastModifiedBy>kozlov</cp:lastModifiedBy>
  <cp:revision>14</cp:revision>
  <cp:lastPrinted>2017-06-16T05:59:00Z</cp:lastPrinted>
  <dcterms:created xsi:type="dcterms:W3CDTF">2017-06-15T08:59:00Z</dcterms:created>
  <dcterms:modified xsi:type="dcterms:W3CDTF">2017-07-07T08:09:00Z</dcterms:modified>
</cp:coreProperties>
</file>